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633a3cc" w14:textId="633a3cc">
      <w:pPr>
        <w:jc w:val="right"/>
        <w15:collapsed w:val="false"/>
        <w:rPr>
          <w:rFonts w:ascii="Arial" w:hAnsi="Arial" w:cs="Arial"/>
        </w:rPr>
      </w:pPr>
      <w:bookmarkStart w:name="_GoBack" w:id="0"/>
      <w:bookmarkEnd w:id="0"/>
      <w:r w:rsidRPr="006755E6">
        <w:rPr>
          <w:rFonts w:ascii="Arial" w:hAnsi="Arial" w:cs="Arial"/>
        </w:rPr>
        <w:t>1 St-</w:t>
      </w:r>
      <w:r w:rsidR="006755E6">
        <w:rPr>
          <w:rFonts w:ascii="Arial" w:hAnsi="Arial" w:cs="Arial"/>
        </w:rPr>
        <w:t>373</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8B6A0C">
        <w:rPr>
          <w:rFonts w:ascii="Arial" w:hAnsi="Arial" w:cs="Arial"/>
        </w:rPr>
        <w:t>123</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6755E6" w:rsidR="006755E6">
        <w:rPr>
          <w:rFonts w:ascii="Arial" w:hAnsi="Arial" w:cs="Arial"/>
        </w:rPr>
        <w:t>OSTREA, d.o.o. u stečaju, Stankovci, Hrvatske vlade 1, OIB: 33106438639</w:t>
      </w:r>
      <w:r w:rsidRPr="006755E6" w:rsidR="00F30D73">
        <w:rPr>
          <w:rFonts w:ascii="Arial" w:hAnsi="Arial" w:cs="Arial"/>
        </w:rPr>
        <w:t>,</w:t>
      </w:r>
      <w:r w:rsidRPr="006755E6">
        <w:rPr>
          <w:rFonts w:ascii="Arial" w:hAnsi="Arial" w:cs="Arial"/>
        </w:rPr>
        <w:t xml:space="preserve"> </w:t>
      </w:r>
      <w:r w:rsidR="008B6A0C">
        <w:rPr>
          <w:rFonts w:ascii="Arial" w:hAnsi="Arial" w:cs="Arial"/>
        </w:rPr>
        <w:t>9</w:t>
      </w:r>
      <w:r w:rsidRPr="006755E6" w:rsidR="00651E9B">
        <w:rPr>
          <w:rFonts w:ascii="Arial" w:hAnsi="Arial" w:cs="Arial"/>
        </w:rPr>
        <w:t xml:space="preserve">. </w:t>
      </w:r>
      <w:r w:rsidR="008B6A0C">
        <w:rPr>
          <w:rFonts w:ascii="Arial" w:hAnsi="Arial" w:cs="Arial"/>
        </w:rPr>
        <w:t>veljače 2022</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8B6A0C">
        <w:rPr>
          <w:rFonts w:ascii="Arial" w:hAnsi="Arial" w:cs="Arial"/>
        </w:rPr>
        <w:t>9</w:t>
      </w:r>
      <w:r w:rsidRPr="006755E6" w:rsidR="00651E9B">
        <w:rPr>
          <w:rFonts w:ascii="Arial" w:hAnsi="Arial" w:cs="Arial"/>
        </w:rPr>
        <w:t>,</w:t>
      </w:r>
      <w:r w:rsidR="008B6A0C">
        <w:rPr>
          <w:rFonts w:ascii="Arial" w:hAnsi="Arial" w:cs="Arial"/>
        </w:rPr>
        <w:t>00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6755E6">
        <w:rPr>
          <w:rFonts w:ascii="Arial" w:hAnsi="Arial" w:cs="Arial"/>
        </w:rPr>
        <w:t>Željko Vrkić</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FD058E" w:rsidP="00F71208" w:rsidRDefault="00375FF3">
      <w:pPr>
        <w:pStyle w:val="Odlomakpopisa"/>
        <w:numPr>
          <w:ilvl w:val="0"/>
          <w:numId w:val="26"/>
        </w:numPr>
        <w:jc w:val="both"/>
        <w:rPr>
          <w:rFonts w:ascii="Arial" w:hAnsi="Arial" w:cs="Arial"/>
        </w:rPr>
      </w:pPr>
      <w:r w:rsidRPr="006755E6">
        <w:rPr>
          <w:rFonts w:ascii="Arial" w:hAnsi="Arial" w:cs="Arial"/>
        </w:rPr>
        <w:t>za RH Svetlana Barešić, zamjenica u ŽDO-u Zadar</w:t>
      </w:r>
    </w:p>
    <w:p w:rsidRPr="005F14B3" w:rsidR="005F14B3" w:rsidP="00F71208" w:rsidRDefault="006B5E75">
      <w:pPr>
        <w:pStyle w:val="Odlomakpopisa"/>
        <w:numPr>
          <w:ilvl w:val="0"/>
          <w:numId w:val="26"/>
        </w:numPr>
        <w:jc w:val="both"/>
        <w:rPr>
          <w:rFonts w:ascii="Arial" w:hAnsi="Arial" w:cs="Arial"/>
        </w:rPr>
      </w:pPr>
      <w:r>
        <w:rPr>
          <w:rFonts w:ascii="Arial" w:hAnsi="Arial" w:cs="Arial"/>
        </w:rPr>
        <w:t xml:space="preserve">za </w:t>
      </w:r>
      <w:r w:rsidR="005F14B3">
        <w:rPr>
          <w:rFonts w:ascii="Arial" w:hAnsi="Arial" w:cs="Arial"/>
        </w:rPr>
        <w:t>HPB</w:t>
      </w:r>
      <w:r>
        <w:rPr>
          <w:rFonts w:ascii="Arial" w:hAnsi="Arial" w:cs="Arial"/>
        </w:rPr>
        <w:t xml:space="preserve"> po punomoćniku Damiru Kevilj odvjetniku Zagrebu</w:t>
      </w:r>
    </w:p>
    <w:p w:rsidR="002C63C7" w:rsidP="00F71208" w:rsidRDefault="002C63C7">
      <w:pPr>
        <w:jc w:val="both"/>
        <w:rPr>
          <w:rFonts w:ascii="Arial" w:hAnsi="Arial" w:cs="Arial"/>
        </w:rPr>
      </w:pPr>
    </w:p>
    <w:p w:rsidR="00402EAB" w:rsidP="00F71208" w:rsidRDefault="00402EAB">
      <w:pPr>
        <w:jc w:val="both"/>
        <w:rPr>
          <w:rFonts w:ascii="Arial" w:hAnsi="Arial" w:cs="Arial"/>
        </w:rPr>
      </w:pPr>
      <w:r>
        <w:rPr>
          <w:rFonts w:ascii="Arial" w:hAnsi="Arial" w:cs="Arial"/>
        </w:rPr>
        <w:t>Slijedom navedenog sud utvrđuje sljedeći omjer prava glasa:</w:t>
      </w:r>
    </w:p>
    <w:p w:rsidR="00402EAB" w:rsidP="00F71208" w:rsidRDefault="00402EAB">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00BE5069" w:rsidTr="00BE5069">
        <w:trPr>
          <w:trHeight w:val="360"/>
        </w:trPr>
        <w:tc>
          <w:tcPr>
            <w:tcW w:w="3900" w:type="dxa"/>
            <w:gridSpan w:val="3"/>
            <w:tcBorders>
              <w:top w:val="nil"/>
              <w:left w:val="nil"/>
              <w:bottom w:val="nil"/>
              <w:right w:val="nil"/>
            </w:tcBorders>
            <w:shd w:val="clear" w:color="auto" w:fill="auto"/>
            <w:noWrap/>
            <w:vAlign w:val="bottom"/>
            <w:hideMark/>
          </w:tcPr>
          <w:p w:rsidR="00BE5069" w:rsidRDefault="00BE5069">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BE5069" w:rsidRDefault="00BE5069">
            <w:pPr>
              <w:jc w:val="right"/>
              <w:rPr>
                <w:rFonts w:ascii="Arial" w:hAnsi="Arial" w:cs="Arial"/>
                <w:b/>
                <w:bCs/>
                <w:color w:val="000000"/>
                <w:sz w:val="28"/>
                <w:szCs w:val="28"/>
              </w:rPr>
            </w:pPr>
            <w:r>
              <w:rPr>
                <w:rFonts w:ascii="Arial" w:hAnsi="Arial" w:cs="Arial"/>
                <w:b/>
                <w:bCs/>
                <w:color w:val="000000"/>
                <w:sz w:val="28"/>
                <w:szCs w:val="28"/>
              </w:rPr>
              <w:t>74.867.808,34</w:t>
            </w:r>
          </w:p>
        </w:tc>
        <w:tc>
          <w:tcPr>
            <w:tcW w:w="118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r>
      <w:tr w:rsidR="00BE5069" w:rsidTr="00BE5069">
        <w:trPr>
          <w:trHeight w:val="255"/>
        </w:trPr>
        <w:tc>
          <w:tcPr>
            <w:tcW w:w="44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r>
      <w:tr w:rsidR="00BE5069" w:rsidTr="00BE5069">
        <w:trPr>
          <w:trHeight w:val="255"/>
        </w:trPr>
        <w:tc>
          <w:tcPr>
            <w:tcW w:w="44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r>
      <w:tr w:rsidR="00BE5069" w:rsidTr="00BE5069">
        <w:trPr>
          <w:trHeight w:val="300"/>
        </w:trPr>
        <w:tc>
          <w:tcPr>
            <w:tcW w:w="44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r>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00BE5069" w:rsidRDefault="00BE5069">
            <w:pPr>
              <w:jc w:val="right"/>
              <w:rPr>
                <w:rFonts w:ascii="Arial" w:hAnsi="Arial" w:cs="Arial"/>
                <w:b/>
                <w:bCs/>
                <w:i/>
                <w:iCs/>
                <w:color w:val="FF0000"/>
              </w:rPr>
            </w:pPr>
            <w:r>
              <w:rPr>
                <w:rFonts w:ascii="Arial" w:hAnsi="Arial" w:cs="Arial"/>
                <w:b/>
                <w:bCs/>
                <w:i/>
                <w:iCs/>
                <w:color w:val="FF0000"/>
              </w:rPr>
              <w:t>60.076.117,90</w:t>
            </w:r>
          </w:p>
        </w:tc>
        <w:tc>
          <w:tcPr>
            <w:tcW w:w="2200" w:type="dxa"/>
            <w:tcBorders>
              <w:top w:val="nil"/>
              <w:left w:val="nil"/>
              <w:bottom w:val="nil"/>
              <w:right w:val="nil"/>
            </w:tcBorders>
            <w:shd w:val="clear" w:color="auto" w:fill="auto"/>
            <w:noWrap/>
            <w:vAlign w:val="bottom"/>
            <w:hideMark/>
          </w:tcPr>
          <w:p w:rsidR="00BE5069" w:rsidRDefault="00BE5069">
            <w:pPr>
              <w:jc w:val="center"/>
              <w:rPr>
                <w:rFonts w:ascii="Arial" w:hAnsi="Arial" w:cs="Arial"/>
                <w:b/>
                <w:bCs/>
                <w:i/>
                <w:iCs/>
                <w:color w:val="993300"/>
              </w:rPr>
            </w:pPr>
            <w:r>
              <w:rPr>
                <w:rFonts w:ascii="Arial" w:hAnsi="Arial" w:cs="Arial"/>
                <w:b/>
                <w:bCs/>
                <w:i/>
                <w:iCs/>
                <w:color w:val="993300"/>
              </w:rPr>
              <w:t>80,24</w:t>
            </w:r>
          </w:p>
        </w:tc>
        <w:tc>
          <w:tcPr>
            <w:tcW w:w="1180" w:type="dxa"/>
            <w:tcBorders>
              <w:top w:val="nil"/>
              <w:left w:val="nil"/>
              <w:bottom w:val="nil"/>
              <w:right w:val="nil"/>
            </w:tcBorders>
            <w:shd w:val="clear" w:color="auto" w:fill="auto"/>
            <w:noWrap/>
            <w:vAlign w:val="bottom"/>
            <w:hideMark/>
          </w:tcPr>
          <w:p w:rsidR="00BE5069" w:rsidRDefault="00BE5069">
            <w:pPr>
              <w:jc w:val="center"/>
              <w:rPr>
                <w:rFonts w:ascii="Arial" w:hAnsi="Arial" w:cs="Arial"/>
                <w:b/>
                <w:bCs/>
                <w:i/>
                <w:iCs/>
                <w:color w:val="0000FF"/>
              </w:rPr>
            </w:pPr>
            <w:r>
              <w:rPr>
                <w:rFonts w:ascii="Arial" w:hAnsi="Arial" w:cs="Arial"/>
                <w:b/>
                <w:bCs/>
                <w:i/>
                <w:iCs/>
                <w:color w:val="0000FF"/>
              </w:rPr>
              <w:t>100,00</w:t>
            </w:r>
          </w:p>
        </w:tc>
      </w:tr>
      <w:tr w:rsidR="00BE5069" w:rsidTr="00BE5069">
        <w:trPr>
          <w:trHeight w:val="322"/>
        </w:trPr>
        <w:tc>
          <w:tcPr>
            <w:tcW w:w="440" w:type="dxa"/>
            <w:vMerge w:val="restart"/>
            <w:tcBorders>
              <w:top w:val="nil"/>
              <w:left w:val="nil"/>
              <w:bottom w:val="nil"/>
              <w:right w:val="nil"/>
            </w:tcBorders>
            <w:shd w:val="clear" w:color="auto" w:fill="auto"/>
            <w:vAlign w:val="center"/>
            <w:hideMark/>
          </w:tcPr>
          <w:p w:rsidR="00BE5069" w:rsidRDefault="00BE5069">
            <w:pPr>
              <w:jc w:val="center"/>
              <w:rPr>
                <w:rFonts w:ascii="Arial" w:hAnsi="Arial" w:cs="Arial"/>
                <w:b/>
                <w:bCs/>
                <w:sz w:val="28"/>
                <w:szCs w:val="28"/>
              </w:rPr>
            </w:pPr>
            <w:r>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00BE5069" w:rsidRDefault="00BE5069">
            <w:pPr>
              <w:jc w:val="center"/>
              <w:rPr>
                <w:rFonts w:ascii="Arial" w:hAnsi="Arial" w:cs="Arial"/>
                <w:b/>
                <w:bCs/>
                <w:sz w:val="22"/>
                <w:szCs w:val="22"/>
              </w:rPr>
            </w:pPr>
            <w:r>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00BE5069" w:rsidRDefault="00BE5069">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BE5069" w:rsidRDefault="00BE5069">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BE5069" w:rsidRDefault="00BE5069">
            <w:pPr>
              <w:jc w:val="center"/>
              <w:rPr>
                <w:rFonts w:ascii="Arial" w:hAnsi="Arial" w:cs="Arial"/>
                <w:color w:val="0000FF"/>
                <w:sz w:val="20"/>
                <w:szCs w:val="20"/>
              </w:rPr>
            </w:pPr>
            <w:r>
              <w:rPr>
                <w:rFonts w:ascii="Arial" w:hAnsi="Arial" w:cs="Arial"/>
                <w:color w:val="0000FF"/>
                <w:sz w:val="20"/>
                <w:szCs w:val="20"/>
              </w:rPr>
              <w:t>Glasovi  na SKUPŠTINI</w:t>
            </w:r>
          </w:p>
        </w:tc>
      </w:tr>
      <w:tr w:rsidR="00BE5069" w:rsidTr="00BE5069">
        <w:trPr>
          <w:trHeight w:val="480"/>
        </w:trPr>
        <w:tc>
          <w:tcPr>
            <w:tcW w:w="440" w:type="dxa"/>
            <w:vMerge/>
            <w:tcBorders>
              <w:top w:val="nil"/>
              <w:left w:val="nil"/>
              <w:bottom w:val="nil"/>
              <w:right w:val="nil"/>
            </w:tcBorders>
            <w:vAlign w:val="center"/>
            <w:hideMark/>
          </w:tcPr>
          <w:p w:rsidR="00BE5069" w:rsidRDefault="00BE5069">
            <w:pPr>
              <w:rPr>
                <w:rFonts w:ascii="Arial" w:hAnsi="Arial" w:cs="Arial"/>
                <w:b/>
                <w:bCs/>
                <w:sz w:val="28"/>
                <w:szCs w:val="28"/>
              </w:rPr>
            </w:pPr>
          </w:p>
        </w:tc>
        <w:tc>
          <w:tcPr>
            <w:tcW w:w="1600" w:type="dxa"/>
            <w:vMerge/>
            <w:tcBorders>
              <w:top w:val="nil"/>
              <w:left w:val="nil"/>
              <w:bottom w:val="nil"/>
              <w:right w:val="nil"/>
            </w:tcBorders>
            <w:vAlign w:val="center"/>
            <w:hideMark/>
          </w:tcPr>
          <w:p w:rsidR="00BE5069" w:rsidRDefault="00BE5069">
            <w:pPr>
              <w:rPr>
                <w:rFonts w:ascii="Arial" w:hAnsi="Arial" w:cs="Arial"/>
                <w:b/>
                <w:bCs/>
                <w:sz w:val="22"/>
                <w:szCs w:val="22"/>
              </w:rPr>
            </w:pPr>
          </w:p>
        </w:tc>
        <w:tc>
          <w:tcPr>
            <w:tcW w:w="1860" w:type="dxa"/>
            <w:vMerge/>
            <w:tcBorders>
              <w:top w:val="nil"/>
              <w:left w:val="nil"/>
              <w:bottom w:val="nil"/>
              <w:right w:val="nil"/>
            </w:tcBorders>
            <w:vAlign w:val="center"/>
            <w:hideMark/>
          </w:tcPr>
          <w:p w:rsidR="00BE5069" w:rsidRDefault="00BE5069">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BE5069" w:rsidRDefault="00BE5069">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BE5069" w:rsidRDefault="00BE5069">
            <w:pPr>
              <w:rPr>
                <w:rFonts w:ascii="Arial" w:hAnsi="Arial" w:cs="Arial"/>
                <w:color w:val="0000FF"/>
                <w:sz w:val="20"/>
                <w:szCs w:val="20"/>
              </w:rPr>
            </w:pPr>
          </w:p>
        </w:tc>
      </w:tr>
      <w:tr w:rsidR="00BE5069" w:rsidTr="00BE5069">
        <w:trPr>
          <w:trHeight w:val="315"/>
        </w:trPr>
        <w:tc>
          <w:tcPr>
            <w:tcW w:w="440" w:type="dxa"/>
            <w:tcBorders>
              <w:top w:val="nil"/>
              <w:left w:val="nil"/>
              <w:bottom w:val="nil"/>
              <w:right w:val="nil"/>
            </w:tcBorders>
            <w:shd w:val="clear" w:color="auto" w:fill="auto"/>
            <w:noWrap/>
            <w:vAlign w:val="bottom"/>
            <w:hideMark/>
          </w:tcPr>
          <w:p w:rsidR="00BE5069" w:rsidRDefault="00BE5069">
            <w:pPr>
              <w:jc w:val="right"/>
              <w:rPr>
                <w:rFonts w:ascii="Arial" w:hAnsi="Arial" w:cs="Arial"/>
                <w:sz w:val="20"/>
                <w:szCs w:val="20"/>
              </w:rPr>
            </w:pPr>
            <w:r>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r>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00BE5069" w:rsidRDefault="00BE5069">
            <w:pPr>
              <w:jc w:val="right"/>
            </w:pPr>
            <w:r>
              <w:t>4.138.272,35</w:t>
            </w:r>
          </w:p>
        </w:tc>
        <w:tc>
          <w:tcPr>
            <w:tcW w:w="2200" w:type="dxa"/>
            <w:tcBorders>
              <w:top w:val="nil"/>
              <w:left w:val="nil"/>
              <w:bottom w:val="nil"/>
              <w:right w:val="nil"/>
            </w:tcBorders>
            <w:shd w:val="clear" w:color="auto" w:fill="auto"/>
            <w:noWrap/>
            <w:vAlign w:val="bottom"/>
            <w:hideMark/>
          </w:tcPr>
          <w:p w:rsidR="00BE5069" w:rsidRDefault="00BE5069">
            <w:pPr>
              <w:jc w:val="center"/>
              <w:rPr>
                <w:rFonts w:ascii="Arial" w:hAnsi="Arial" w:cs="Arial"/>
                <w:sz w:val="20"/>
                <w:szCs w:val="20"/>
              </w:rPr>
            </w:pPr>
            <w:r>
              <w:rPr>
                <w:rFonts w:ascii="Arial" w:hAnsi="Arial" w:cs="Arial"/>
                <w:sz w:val="20"/>
                <w:szCs w:val="20"/>
              </w:rPr>
              <w:t>5,53</w:t>
            </w:r>
          </w:p>
        </w:tc>
        <w:tc>
          <w:tcPr>
            <w:tcW w:w="1180" w:type="dxa"/>
            <w:tcBorders>
              <w:top w:val="nil"/>
              <w:left w:val="nil"/>
              <w:bottom w:val="nil"/>
              <w:right w:val="nil"/>
            </w:tcBorders>
            <w:shd w:val="clear" w:color="auto" w:fill="auto"/>
            <w:noWrap/>
            <w:vAlign w:val="bottom"/>
            <w:hideMark/>
          </w:tcPr>
          <w:p w:rsidR="00BE5069" w:rsidRDefault="00BE5069">
            <w:pPr>
              <w:jc w:val="center"/>
              <w:rPr>
                <w:rFonts w:ascii="Arial" w:hAnsi="Arial" w:cs="Arial"/>
                <w:sz w:val="20"/>
                <w:szCs w:val="20"/>
              </w:rPr>
            </w:pPr>
            <w:r>
              <w:rPr>
                <w:rFonts w:ascii="Arial" w:hAnsi="Arial" w:cs="Arial"/>
                <w:sz w:val="20"/>
                <w:szCs w:val="20"/>
              </w:rPr>
              <w:t>6,89</w:t>
            </w:r>
          </w:p>
        </w:tc>
      </w:tr>
      <w:tr w:rsidR="00BE5069" w:rsidTr="00BE5069">
        <w:trPr>
          <w:trHeight w:val="255"/>
        </w:trPr>
        <w:tc>
          <w:tcPr>
            <w:tcW w:w="440" w:type="dxa"/>
            <w:tcBorders>
              <w:top w:val="nil"/>
              <w:left w:val="nil"/>
              <w:bottom w:val="nil"/>
              <w:right w:val="nil"/>
            </w:tcBorders>
            <w:shd w:val="clear" w:color="auto" w:fill="auto"/>
            <w:noWrap/>
            <w:vAlign w:val="bottom"/>
            <w:hideMark/>
          </w:tcPr>
          <w:p w:rsidR="00BE5069" w:rsidRDefault="00BE5069">
            <w:pPr>
              <w:jc w:val="right"/>
              <w:rPr>
                <w:rFonts w:ascii="Arial" w:hAnsi="Arial" w:cs="Arial"/>
                <w:sz w:val="20"/>
                <w:szCs w:val="20"/>
              </w:rPr>
            </w:pPr>
            <w:r>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00BE5069" w:rsidRDefault="00BE5069">
            <w:pPr>
              <w:rPr>
                <w:rFonts w:ascii="Arial" w:hAnsi="Arial" w:cs="Arial"/>
                <w:sz w:val="20"/>
                <w:szCs w:val="20"/>
              </w:rPr>
            </w:pPr>
            <w:r>
              <w:rPr>
                <w:rFonts w:ascii="Arial" w:hAnsi="Arial" w:cs="Arial"/>
                <w:sz w:val="20"/>
                <w:szCs w:val="20"/>
              </w:rPr>
              <w:t>hpb</w:t>
            </w:r>
          </w:p>
        </w:tc>
        <w:tc>
          <w:tcPr>
            <w:tcW w:w="1860" w:type="dxa"/>
            <w:tcBorders>
              <w:top w:val="nil"/>
              <w:left w:val="nil"/>
              <w:bottom w:val="nil"/>
              <w:right w:val="nil"/>
            </w:tcBorders>
            <w:shd w:val="clear" w:color="auto" w:fill="auto"/>
            <w:noWrap/>
            <w:vAlign w:val="bottom"/>
            <w:hideMark/>
          </w:tcPr>
          <w:p w:rsidR="00BE5069" w:rsidRDefault="00BE5069">
            <w:pPr>
              <w:jc w:val="right"/>
              <w:rPr>
                <w:rFonts w:ascii="Arial" w:hAnsi="Arial" w:cs="Arial"/>
                <w:sz w:val="20"/>
                <w:szCs w:val="20"/>
              </w:rPr>
            </w:pPr>
            <w:r>
              <w:rPr>
                <w:rFonts w:ascii="Arial" w:hAnsi="Arial" w:cs="Arial"/>
                <w:sz w:val="20"/>
                <w:szCs w:val="20"/>
              </w:rPr>
              <w:t>55.937.845,55</w:t>
            </w:r>
          </w:p>
        </w:tc>
        <w:tc>
          <w:tcPr>
            <w:tcW w:w="2200" w:type="dxa"/>
            <w:tcBorders>
              <w:top w:val="nil"/>
              <w:left w:val="nil"/>
              <w:bottom w:val="nil"/>
              <w:right w:val="nil"/>
            </w:tcBorders>
            <w:shd w:val="clear" w:color="auto" w:fill="auto"/>
            <w:noWrap/>
            <w:vAlign w:val="bottom"/>
            <w:hideMark/>
          </w:tcPr>
          <w:p w:rsidR="00BE5069" w:rsidRDefault="00BE5069">
            <w:pPr>
              <w:jc w:val="center"/>
              <w:rPr>
                <w:rFonts w:ascii="Arial" w:hAnsi="Arial" w:cs="Arial"/>
                <w:sz w:val="20"/>
                <w:szCs w:val="20"/>
              </w:rPr>
            </w:pPr>
            <w:r>
              <w:rPr>
                <w:rFonts w:ascii="Arial" w:hAnsi="Arial" w:cs="Arial"/>
                <w:sz w:val="20"/>
                <w:szCs w:val="20"/>
              </w:rPr>
              <w:t>74,72</w:t>
            </w:r>
          </w:p>
        </w:tc>
        <w:tc>
          <w:tcPr>
            <w:tcW w:w="1180" w:type="dxa"/>
            <w:tcBorders>
              <w:top w:val="nil"/>
              <w:left w:val="nil"/>
              <w:bottom w:val="nil"/>
              <w:right w:val="nil"/>
            </w:tcBorders>
            <w:shd w:val="clear" w:color="auto" w:fill="auto"/>
            <w:noWrap/>
            <w:vAlign w:val="bottom"/>
            <w:hideMark/>
          </w:tcPr>
          <w:p w:rsidR="00BE5069" w:rsidRDefault="00BE5069">
            <w:pPr>
              <w:jc w:val="center"/>
              <w:rPr>
                <w:rFonts w:ascii="Arial" w:hAnsi="Arial" w:cs="Arial"/>
                <w:sz w:val="20"/>
                <w:szCs w:val="20"/>
              </w:rPr>
            </w:pPr>
            <w:r>
              <w:rPr>
                <w:rFonts w:ascii="Arial" w:hAnsi="Arial" w:cs="Arial"/>
                <w:sz w:val="20"/>
                <w:szCs w:val="20"/>
              </w:rPr>
              <w:t>93,11</w:t>
            </w:r>
          </w:p>
        </w:tc>
      </w:tr>
    </w:tbl>
    <w:p w:rsidR="00402EAB" w:rsidP="00F71208" w:rsidRDefault="00402EAB">
      <w:pPr>
        <w:jc w:val="both"/>
        <w:rPr>
          <w:rFonts w:ascii="Arial" w:hAnsi="Arial" w:cs="Arial"/>
        </w:rPr>
      </w:pPr>
    </w:p>
    <w:p w:rsidRPr="006755E6" w:rsidR="002C63C7" w:rsidP="00F71208" w:rsidRDefault="002C63C7">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8B6A0C">
        <w:rPr>
          <w:rFonts w:ascii="Arial" w:hAnsi="Arial" w:cs="Arial"/>
        </w:rPr>
        <w:t>14</w:t>
      </w:r>
      <w:r w:rsidRPr="006755E6" w:rsidR="00651E9B">
        <w:rPr>
          <w:rFonts w:ascii="Arial" w:hAnsi="Arial" w:cs="Arial"/>
        </w:rPr>
        <w:t xml:space="preserve">. </w:t>
      </w:r>
      <w:r w:rsidR="008B6A0C">
        <w:rPr>
          <w:rFonts w:ascii="Arial" w:hAnsi="Arial" w:cs="Arial"/>
        </w:rPr>
        <w:t>prosinca</w:t>
      </w:r>
      <w:r w:rsidRPr="006755E6" w:rsidR="007F4CE7">
        <w:rPr>
          <w:rFonts w:ascii="Arial" w:hAnsi="Arial" w:cs="Arial"/>
        </w:rPr>
        <w:t xml:space="preserve"> 2021</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008B6A0C" w:rsidP="008B6A0C" w:rsidRDefault="00375FF3">
      <w:pPr>
        <w:pStyle w:val="Odlomakpopisa"/>
        <w:numPr>
          <w:ilvl w:val="0"/>
          <w:numId w:val="21"/>
        </w:numPr>
        <w:jc w:val="both"/>
        <w:rPr>
          <w:rFonts w:ascii="Arial" w:hAnsi="Arial" w:cs="Arial"/>
        </w:rPr>
      </w:pPr>
      <w:r w:rsidRPr="006755E6">
        <w:rPr>
          <w:rFonts w:ascii="Arial" w:hAnsi="Arial" w:cs="Arial"/>
        </w:rPr>
        <w:t xml:space="preserve">Ad. </w:t>
      </w:r>
      <w:r w:rsidRPr="00D110E2" w:rsidR="00D110E2">
        <w:rPr>
          <w:rFonts w:ascii="Arial" w:hAnsi="Arial" w:cs="Arial"/>
        </w:rPr>
        <w:t>1.</w:t>
      </w:r>
      <w:r w:rsidRPr="00D110E2" w:rsidR="00D110E2">
        <w:rPr>
          <w:rFonts w:ascii="Arial" w:hAnsi="Arial" w:cs="Arial"/>
        </w:rPr>
        <w:tab/>
      </w:r>
      <w:r w:rsidRPr="00D10F69" w:rsidR="008B6A0C">
        <w:rPr>
          <w:rFonts w:ascii="Arial" w:hAnsi="Arial" w:cs="Arial"/>
        </w:rPr>
        <w:t xml:space="preserve">Donošenje odluke o </w:t>
      </w:r>
      <w:r w:rsidR="008B6A0C">
        <w:rPr>
          <w:rFonts w:ascii="Arial" w:hAnsi="Arial" w:cs="Arial"/>
        </w:rPr>
        <w:t>pokretanju sudskih postupaka radi naplate potraživanja od dužnikovih dužnika i to PARMA FISH d.o.o., Split, HLADNJAČA BENKOVAC d.o.o Benkovac, RENT A MATE d.o.o. Zagreb i FIDUCIARIA EMILIANA spa Italija.</w:t>
      </w:r>
    </w:p>
    <w:p w:rsidR="00293847" w:rsidP="008B6A0C" w:rsidRDefault="00293847">
      <w:pPr>
        <w:jc w:val="both"/>
        <w:rPr>
          <w:rFonts w:ascii="Arial" w:hAnsi="Arial" w:cs="Arial"/>
        </w:rPr>
      </w:pPr>
    </w:p>
    <w:p w:rsidRPr="006755E6" w:rsidR="00293847" w:rsidP="006755E6" w:rsidRDefault="00293847">
      <w:pPr>
        <w:jc w:val="both"/>
        <w:rPr>
          <w:rFonts w:ascii="Arial" w:hAnsi="Arial" w:cs="Arial"/>
        </w:rPr>
      </w:pPr>
    </w:p>
    <w:p w:rsidR="00375FF3" w:rsidP="00F71208" w:rsidRDefault="00375FF3">
      <w:pPr>
        <w:jc w:val="both"/>
        <w:rPr>
          <w:rFonts w:ascii="Arial" w:hAnsi="Arial" w:cs="Arial"/>
        </w:rPr>
      </w:pPr>
      <w:r w:rsidRPr="006755E6">
        <w:rPr>
          <w:rFonts w:ascii="Arial" w:hAnsi="Arial" w:cs="Arial"/>
        </w:rPr>
        <w:t xml:space="preserve">Ad. 1. </w:t>
      </w:r>
    </w:p>
    <w:p w:rsidRPr="006755E6" w:rsidR="00375FF3" w:rsidP="00F71208" w:rsidRDefault="00375FF3">
      <w:pPr>
        <w:jc w:val="both"/>
        <w:rPr>
          <w:rFonts w:ascii="Arial" w:hAnsi="Arial" w:cs="Arial"/>
        </w:rPr>
      </w:pPr>
    </w:p>
    <w:p w:rsidR="00BE5069" w:rsidP="00F71208" w:rsidRDefault="00375FF3">
      <w:pPr>
        <w:jc w:val="both"/>
        <w:rPr>
          <w:rFonts w:ascii="Arial" w:hAnsi="Arial" w:cs="Arial"/>
        </w:rPr>
      </w:pPr>
      <w:r w:rsidRPr="006755E6">
        <w:rPr>
          <w:rFonts w:ascii="Arial" w:hAnsi="Arial" w:cs="Arial"/>
        </w:rPr>
        <w:t xml:space="preserve">Stečajni upravitelj </w:t>
      </w:r>
      <w:r w:rsidR="00F97781">
        <w:rPr>
          <w:rFonts w:ascii="Arial" w:hAnsi="Arial" w:cs="Arial"/>
        </w:rPr>
        <w:t xml:space="preserve">ukratko </w:t>
      </w:r>
      <w:r w:rsidRPr="006755E6">
        <w:rPr>
          <w:rFonts w:ascii="Arial" w:hAnsi="Arial" w:cs="Arial"/>
        </w:rPr>
        <w:t xml:space="preserve">navodi da </w:t>
      </w:r>
      <w:r w:rsidR="00BE5069">
        <w:rPr>
          <w:rFonts w:ascii="Arial" w:hAnsi="Arial" w:cs="Arial"/>
        </w:rPr>
        <w:t>je u skladu sa odlukom sa prethodne skupštine vjerovnika udovoljeno istoj i dostavljeni su nacrti tužbenih zahtjeva za postupke o kojima se danas treba odlučiti. Međutim dodaje da je situacija znatno složenija od toga što bi se moglo isčitati iz tih nacrta. Podsjeća da je prvi puta o ovome odlučivalo na skupštini u svibnju 2021. i da smatra da je u međuvremenu došlo do zastare za neke od postupaka.</w:t>
      </w:r>
    </w:p>
    <w:p w:rsidR="00BE5069" w:rsidP="00F71208" w:rsidRDefault="00BE5069">
      <w:pPr>
        <w:jc w:val="both"/>
        <w:rPr>
          <w:rFonts w:ascii="Arial" w:hAnsi="Arial" w:cs="Arial"/>
        </w:rPr>
      </w:pPr>
    </w:p>
    <w:p w:rsidR="008B6A0C" w:rsidP="00F71208" w:rsidRDefault="00BE5069">
      <w:pPr>
        <w:jc w:val="both"/>
        <w:rPr>
          <w:rFonts w:ascii="Arial" w:hAnsi="Arial" w:cs="Arial"/>
        </w:rPr>
      </w:pPr>
      <w:r>
        <w:rPr>
          <w:rFonts w:ascii="Arial" w:hAnsi="Arial" w:cs="Arial"/>
        </w:rPr>
        <w:t>U odnosu na postupak prema PARMA FISH navodi da bi prema njegovom mišljenju tužbenih zahtjev bio u zastari a da bi tužbeni zahtjev vezan za raskid ugovora bio skopčan s daljnjim problemima jer je riječ o nekretnini koja je opterećena razlučnim pravima u korist HPB-a pa bi se vraćanjem te nekretnine u posjed ovog dužnika održalo postojeće stanje jer bi se naplatio HPB u jednoj ili u drugoj varijanti, što ne bi druge vjerovnike dovelo u bolji položaj.</w:t>
      </w:r>
    </w:p>
    <w:p w:rsidR="00E23967" w:rsidP="00F71208" w:rsidRDefault="00E23967">
      <w:pPr>
        <w:jc w:val="both"/>
        <w:rPr>
          <w:rFonts w:ascii="Arial" w:hAnsi="Arial" w:cs="Arial"/>
        </w:rPr>
      </w:pPr>
    </w:p>
    <w:p w:rsidR="00BE5069" w:rsidP="00F71208" w:rsidRDefault="00BE5069">
      <w:pPr>
        <w:jc w:val="both"/>
        <w:rPr>
          <w:rFonts w:ascii="Arial" w:hAnsi="Arial" w:cs="Arial"/>
        </w:rPr>
      </w:pPr>
      <w:r>
        <w:rPr>
          <w:rFonts w:ascii="Arial" w:hAnsi="Arial" w:cs="Arial"/>
        </w:rPr>
        <w:t>Punomoćnik HPB navodi da bi za ovaj postupak prema PARMA FISHU trebalo predujmiti oko 400.000,00 kuna, a osobito je tu naglašeno pitanje troškova suprotne strane ukoliko se taj spor protiv PARMA FISHA izgubi stoga punomoćnik HPB navodi da će u glasovanju biti suzdržan.</w:t>
      </w:r>
    </w:p>
    <w:p w:rsidR="00BE5069" w:rsidP="00F71208" w:rsidRDefault="00BE5069">
      <w:pPr>
        <w:jc w:val="both"/>
        <w:rPr>
          <w:rFonts w:ascii="Arial" w:hAnsi="Arial" w:cs="Arial"/>
        </w:rPr>
      </w:pPr>
    </w:p>
    <w:p w:rsidR="00BE5069" w:rsidP="00F71208" w:rsidRDefault="00BE5069">
      <w:pPr>
        <w:jc w:val="both"/>
        <w:rPr>
          <w:rFonts w:ascii="Arial" w:hAnsi="Arial" w:cs="Arial"/>
        </w:rPr>
      </w:pPr>
      <w:r>
        <w:rPr>
          <w:rFonts w:ascii="Arial" w:hAnsi="Arial" w:cs="Arial"/>
        </w:rPr>
        <w:t>Prijedlog stečajnog upravitelja da se pokrene postupak protiv PARMA FISHA daje se na glasovanje.</w:t>
      </w:r>
    </w:p>
    <w:p w:rsidR="00BE5069" w:rsidP="00F71208" w:rsidRDefault="00BE5069">
      <w:pPr>
        <w:jc w:val="both"/>
        <w:rPr>
          <w:rFonts w:ascii="Arial" w:hAnsi="Arial" w:cs="Arial"/>
        </w:rPr>
      </w:pPr>
    </w:p>
    <w:p w:rsidR="00BE5069" w:rsidP="00F71208" w:rsidRDefault="00BE5069">
      <w:pPr>
        <w:jc w:val="both"/>
        <w:rPr>
          <w:rFonts w:ascii="Arial" w:hAnsi="Arial" w:cs="Arial"/>
        </w:rPr>
      </w:pPr>
      <w:r>
        <w:rPr>
          <w:rFonts w:ascii="Arial" w:hAnsi="Arial" w:cs="Arial"/>
        </w:rPr>
        <w:t>Oba nazočna vjerovnika su suzdržana.</w:t>
      </w:r>
    </w:p>
    <w:p w:rsidR="00BE5069" w:rsidP="00F71208" w:rsidRDefault="00BE5069">
      <w:pPr>
        <w:jc w:val="both"/>
        <w:rPr>
          <w:rFonts w:ascii="Arial" w:hAnsi="Arial" w:cs="Arial"/>
        </w:rPr>
      </w:pPr>
    </w:p>
    <w:p w:rsidR="00BE5069" w:rsidP="00F71208" w:rsidRDefault="00BE5069">
      <w:pPr>
        <w:jc w:val="both"/>
        <w:rPr>
          <w:rFonts w:ascii="Arial" w:hAnsi="Arial" w:cs="Arial"/>
        </w:rPr>
      </w:pPr>
      <w:r>
        <w:rPr>
          <w:rFonts w:ascii="Arial" w:hAnsi="Arial" w:cs="Arial"/>
        </w:rPr>
        <w:t>Sud utvrđuje da prijedlog nije prihvaćen.</w:t>
      </w:r>
    </w:p>
    <w:p w:rsidR="00BE5069" w:rsidP="00F71208" w:rsidRDefault="00BE5069">
      <w:pPr>
        <w:jc w:val="both"/>
        <w:rPr>
          <w:rFonts w:ascii="Arial" w:hAnsi="Arial" w:cs="Arial"/>
        </w:rPr>
      </w:pPr>
    </w:p>
    <w:p w:rsidR="00BE5069" w:rsidP="00F71208" w:rsidRDefault="00BE5069">
      <w:pPr>
        <w:jc w:val="both"/>
        <w:rPr>
          <w:rFonts w:ascii="Arial" w:hAnsi="Arial" w:cs="Arial"/>
        </w:rPr>
      </w:pPr>
    </w:p>
    <w:p w:rsidR="00BE5069" w:rsidP="00F71208" w:rsidRDefault="00BE5069">
      <w:pPr>
        <w:jc w:val="both"/>
        <w:rPr>
          <w:rFonts w:ascii="Arial" w:hAnsi="Arial" w:cs="Arial"/>
        </w:rPr>
      </w:pPr>
      <w:r>
        <w:rPr>
          <w:rFonts w:ascii="Arial" w:hAnsi="Arial" w:cs="Arial"/>
        </w:rPr>
        <w:t xml:space="preserve">U odnosu na HLADNJAČU BENKOVAC d.o.o. stečajni upravitelj navodi da tražbina nije u zastari barem ne u dijelu od 2.217.520,00 kuna s obzirom da je trebala biti plaćena do 30. lipnja 2019. međutim tu isto ima uvjet kad je to trebalo biti plaćeno. Predlaže da se traži raskid ugovora sa HLADNJAČOM BENKOVAC d.o.o. i povrat nekretnine. Predviđeni troškovi su za ovaj postupak </w:t>
      </w:r>
      <w:r w:rsidR="001F38BC">
        <w:rPr>
          <w:rFonts w:ascii="Arial" w:hAnsi="Arial" w:cs="Arial"/>
        </w:rPr>
        <w:t>240.000,00 kuna + PDV uključujući obje strane u slučaju da se spor izgubi.</w:t>
      </w: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t>HPB glasa protiv prijedloga jer je i ovdje riječ o zastari, a postoji i potrebe predujmljivanja znatnih troškova za čije podmirivanje nema sredstva za sada.</w:t>
      </w: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t>RH glasuje za prijedlog.</w:t>
      </w: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t>Sud utvrđuje da prijedlog stečajnog upravitelja nije prihvaćen.</w:t>
      </w:r>
    </w:p>
    <w:p w:rsidR="001F38BC" w:rsidP="00F71208" w:rsidRDefault="001F38BC">
      <w:pPr>
        <w:jc w:val="both"/>
        <w:rPr>
          <w:rFonts w:ascii="Arial" w:hAnsi="Arial" w:cs="Arial"/>
        </w:rPr>
      </w:pP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t>U odnosu na eventualni postupak prema RENT MATE j.d.o.o. Zagreb stečajni upravitelj navodi da je htio izbjeći zastaru prema računima za prodana vozila pravovremeno pokrenuo ovršne postupke obzirom da je mali iznos troškova, dva ovršna postupka, na oba prijedloga je stavljen prigovor. Taj prigovor je proslijeđen TS ZG i jedno od ročišta je početkom svibnja. Za obe ovrhe je iznos oko 165.000,0 kuna. Posebno napominje da su oba prigovora vrlo štura i nekonkretna, da je u međuvremenu RENT MATE jd.o.o. promijeni osnivački ugovor, osobu ovlaštenu za zastupanje i sjedište koje je sada u Zagrebu. Posebno navodi da do stvarne primopredaje između njega kao stečajnog upravitelja i posljednje osobe ovlaštene za zastupanje nije bilo jer je to Petar Kovačević izbjegavao, pa opreza radi navodi da je moguće da su kod istog pečati dužnika kojima bi se mogle krivotvoriti činjenice vezane za plaćanje ovog vozila.</w:t>
      </w: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t>Za prijedlog stečajnog upravitelja glasuje RH.</w:t>
      </w:r>
    </w:p>
    <w:p w:rsidR="001F38BC" w:rsidP="00F71208" w:rsidRDefault="001F38BC">
      <w:pPr>
        <w:jc w:val="both"/>
        <w:rPr>
          <w:rFonts w:ascii="Arial" w:hAnsi="Arial" w:cs="Arial"/>
        </w:rPr>
      </w:pPr>
    </w:p>
    <w:p w:rsidR="001F38BC" w:rsidP="00F71208" w:rsidRDefault="001F38BC">
      <w:pPr>
        <w:jc w:val="both"/>
        <w:rPr>
          <w:rFonts w:ascii="Arial" w:hAnsi="Arial" w:cs="Arial"/>
        </w:rPr>
      </w:pPr>
      <w:r>
        <w:rPr>
          <w:rFonts w:ascii="Arial" w:hAnsi="Arial" w:cs="Arial"/>
        </w:rPr>
        <w:lastRenderedPageBreak/>
        <w:t>Protiv prijedloga stečajnog upravitelja glasuje HPB.</w:t>
      </w:r>
    </w:p>
    <w:p w:rsidR="00BE5069" w:rsidP="00F71208" w:rsidRDefault="00BE5069">
      <w:pPr>
        <w:jc w:val="both"/>
        <w:rPr>
          <w:rFonts w:ascii="Arial" w:hAnsi="Arial" w:cs="Arial"/>
        </w:rPr>
      </w:pPr>
    </w:p>
    <w:p w:rsidR="001F38BC" w:rsidP="00F71208" w:rsidRDefault="00E23967">
      <w:pPr>
        <w:jc w:val="both"/>
        <w:rPr>
          <w:rFonts w:ascii="Arial" w:hAnsi="Arial" w:cs="Arial"/>
        </w:rPr>
      </w:pPr>
      <w:r>
        <w:rPr>
          <w:rFonts w:ascii="Arial" w:hAnsi="Arial" w:cs="Arial"/>
        </w:rPr>
        <w:t>Sud utvrđuje da</w:t>
      </w:r>
      <w:r w:rsidR="001F38BC">
        <w:rPr>
          <w:rFonts w:ascii="Arial" w:hAnsi="Arial" w:cs="Arial"/>
        </w:rPr>
        <w:t xml:space="preserve"> prijedlog stečajnog upravitelja nije prihvaćen.</w:t>
      </w:r>
    </w:p>
    <w:p w:rsidR="001F38BC" w:rsidP="00F71208" w:rsidRDefault="001F38BC">
      <w:pPr>
        <w:jc w:val="both"/>
        <w:rPr>
          <w:rFonts w:ascii="Arial" w:hAnsi="Arial" w:cs="Arial"/>
        </w:rPr>
      </w:pPr>
    </w:p>
    <w:p w:rsidR="0046345E" w:rsidP="00F71208" w:rsidRDefault="0046345E">
      <w:pPr>
        <w:jc w:val="both"/>
        <w:rPr>
          <w:rFonts w:ascii="Arial" w:hAnsi="Arial" w:cs="Arial"/>
        </w:rPr>
      </w:pPr>
    </w:p>
    <w:p w:rsidR="001F38BC" w:rsidP="00F71208" w:rsidRDefault="001F38BC">
      <w:pPr>
        <w:jc w:val="both"/>
        <w:rPr>
          <w:rFonts w:ascii="Arial" w:hAnsi="Arial" w:cs="Arial"/>
        </w:rPr>
      </w:pPr>
      <w:r>
        <w:rPr>
          <w:rFonts w:ascii="Arial" w:hAnsi="Arial" w:cs="Arial"/>
        </w:rPr>
        <w:t xml:space="preserve">U odnosu na FIDUCIARIU EMILIANU spa Italija stečajni upravitelj navodi da </w:t>
      </w:r>
      <w:r w:rsidR="00293553">
        <w:rPr>
          <w:rFonts w:ascii="Arial" w:hAnsi="Arial" w:cs="Arial"/>
        </w:rPr>
        <w:t>predlaže pokrenuti sudski postupak protiv ovog društva međutim navodi da smatra da bi i to potraživanje možda bilo u zastari s obzirom da je protekao i opći zastrani rok od 5 godina. Troškovi toga postupka bili bi oko 80.000,00 kuna na obje strane u slučaju gubitka spora.</w:t>
      </w:r>
    </w:p>
    <w:p w:rsidR="00293553" w:rsidP="00F71208" w:rsidRDefault="00293553">
      <w:pPr>
        <w:jc w:val="both"/>
        <w:rPr>
          <w:rFonts w:ascii="Arial" w:hAnsi="Arial" w:cs="Arial"/>
        </w:rPr>
      </w:pPr>
    </w:p>
    <w:p w:rsidR="00293553" w:rsidP="00F71208" w:rsidRDefault="00293553">
      <w:pPr>
        <w:jc w:val="both"/>
        <w:rPr>
          <w:rFonts w:ascii="Arial" w:hAnsi="Arial" w:cs="Arial"/>
        </w:rPr>
      </w:pPr>
      <w:r>
        <w:rPr>
          <w:rFonts w:ascii="Arial" w:hAnsi="Arial" w:cs="Arial"/>
        </w:rPr>
        <w:t>Oba vjerovnika glasuju protiv prijedloga.</w:t>
      </w:r>
    </w:p>
    <w:p w:rsidR="00293553" w:rsidP="00F71208" w:rsidRDefault="00293553">
      <w:pPr>
        <w:jc w:val="both"/>
        <w:rPr>
          <w:rFonts w:ascii="Arial" w:hAnsi="Arial" w:cs="Arial"/>
        </w:rPr>
      </w:pPr>
    </w:p>
    <w:p w:rsidR="00293553" w:rsidP="00F71208" w:rsidRDefault="00293553">
      <w:pPr>
        <w:jc w:val="both"/>
        <w:rPr>
          <w:rFonts w:ascii="Arial" w:hAnsi="Arial" w:cs="Arial"/>
        </w:rPr>
      </w:pPr>
      <w:r>
        <w:rPr>
          <w:rFonts w:ascii="Arial" w:hAnsi="Arial" w:cs="Arial"/>
        </w:rPr>
        <w:t>Sud utvrđuje da prijedlog nije prihvaćen.</w:t>
      </w:r>
    </w:p>
    <w:p w:rsidR="001F38BC" w:rsidP="00F71208" w:rsidRDefault="001F38BC">
      <w:pPr>
        <w:jc w:val="both"/>
        <w:rPr>
          <w:rFonts w:ascii="Arial" w:hAnsi="Arial" w:cs="Arial"/>
        </w:rPr>
      </w:pPr>
    </w:p>
    <w:p w:rsidRPr="006755E6" w:rsidR="00D302D7" w:rsidP="00F71208" w:rsidRDefault="00D302D7">
      <w:pPr>
        <w:jc w:val="both"/>
        <w:rPr>
          <w:rFonts w:ascii="Arial" w:hAnsi="Arial" w:cs="Arial"/>
        </w:rPr>
      </w:pPr>
    </w:p>
    <w:p w:rsidRPr="006755E6" w:rsidR="009619CB" w:rsidP="00F71208" w:rsidRDefault="009619CB">
      <w:pPr>
        <w:jc w:val="both"/>
        <w:rPr>
          <w:rFonts w:ascii="Arial" w:hAnsi="Arial" w:cs="Arial"/>
        </w:rPr>
      </w:pPr>
      <w:r w:rsidRPr="006755E6">
        <w:rPr>
          <w:rFonts w:ascii="Arial" w:hAnsi="Arial" w:cs="Arial"/>
        </w:rPr>
        <w:t>Sud utvrđuje da su na današnjoj skupštini vjerovnika donijete sljedeće odluke:</w:t>
      </w:r>
    </w:p>
    <w:p w:rsidRPr="006755E6" w:rsidR="009619CB" w:rsidP="00F71208" w:rsidRDefault="009619CB">
      <w:pPr>
        <w:jc w:val="both"/>
        <w:rPr>
          <w:rFonts w:ascii="Arial" w:hAnsi="Arial" w:cs="Arial"/>
        </w:rPr>
      </w:pPr>
    </w:p>
    <w:p w:rsidR="008B6A0C" w:rsidP="008B6A0C" w:rsidRDefault="00293553">
      <w:pPr>
        <w:pStyle w:val="Odlomakpopisa"/>
        <w:numPr>
          <w:ilvl w:val="0"/>
          <w:numId w:val="28"/>
        </w:numPr>
        <w:tabs>
          <w:tab w:val="left" w:pos="0"/>
          <w:tab w:val="left" w:pos="360"/>
        </w:tabs>
        <w:jc w:val="both"/>
        <w:rPr>
          <w:rFonts w:ascii="Arial" w:hAnsi="Arial" w:cs="Arial"/>
        </w:rPr>
      </w:pPr>
      <w:r>
        <w:rPr>
          <w:rFonts w:ascii="Arial" w:hAnsi="Arial" w:cs="Arial"/>
        </w:rPr>
        <w:t xml:space="preserve">Prijedlozi stečajnog </w:t>
      </w:r>
      <w:r w:rsidR="00E94694">
        <w:rPr>
          <w:rFonts w:ascii="Arial" w:hAnsi="Arial" w:cs="Arial"/>
        </w:rPr>
        <w:t>upravitelja</w:t>
      </w:r>
      <w:r>
        <w:rPr>
          <w:rFonts w:ascii="Arial" w:hAnsi="Arial" w:cs="Arial"/>
        </w:rPr>
        <w:t xml:space="preserve"> za pokretanje postupka nisu prihvaćeni.</w:t>
      </w:r>
    </w:p>
    <w:p w:rsidRPr="008B6A0C" w:rsidR="008B6A0C" w:rsidP="00443730" w:rsidRDefault="008B6A0C">
      <w:pPr>
        <w:pStyle w:val="Odlomakpopisa"/>
        <w:tabs>
          <w:tab w:val="left" w:pos="0"/>
          <w:tab w:val="left" w:pos="360"/>
        </w:tabs>
        <w:jc w:val="both"/>
        <w:rPr>
          <w:rFonts w:ascii="Arial" w:hAnsi="Arial" w:cs="Arial"/>
        </w:rPr>
      </w:pPr>
    </w:p>
    <w:p w:rsidR="008B6A0C" w:rsidP="00F96D5F" w:rsidRDefault="008B6A0C">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443730">
        <w:rPr>
          <w:rFonts w:ascii="Arial" w:hAnsi="Arial" w:cs="Arial"/>
        </w:rPr>
        <w:t>9</w:t>
      </w:r>
      <w:r w:rsidRPr="006755E6" w:rsidR="00651E9B">
        <w:rPr>
          <w:rFonts w:ascii="Arial" w:hAnsi="Arial" w:cs="Arial"/>
        </w:rPr>
        <w:t>,</w:t>
      </w:r>
      <w:r w:rsidR="00443730">
        <w:rPr>
          <w:rFonts w:ascii="Arial" w:hAnsi="Arial" w:cs="Arial"/>
        </w:rPr>
        <w:t>35</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A20845">
      <w:rPr>
        <w:rFonts w:ascii="Arial" w:hAnsi="Arial" w:cs="Arial"/>
        <w:noProof/>
      </w:rPr>
      <w:t>3</w:t>
    </w:r>
    <w:r w:rsidRPr="006755E6">
      <w:rPr>
        <w:rFonts w:ascii="Arial" w:hAnsi="Arial" w:cs="Arial"/>
      </w:rPr>
      <w:fldChar w:fldCharType="end"/>
    </w:r>
    <w:r w:rsidRPr="006755E6">
      <w:rPr>
        <w:rFonts w:ascii="Arial" w:hAnsi="Arial" w:cs="Arial"/>
      </w:rPr>
      <w:t xml:space="preserve">                                    1 St-</w:t>
    </w:r>
    <w:r w:rsidRPr="006755E6" w:rsidR="006755E6">
      <w:rPr>
        <w:rFonts w:ascii="Arial" w:hAnsi="Arial" w:cs="Arial"/>
      </w:rPr>
      <w:t>373</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008B6A0C">
      <w:rPr>
        <w:rFonts w:ascii="Arial" w:hAnsi="Arial" w:cs="Arial"/>
      </w:rPr>
      <w:t>123</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31FB"/>
    <w:rsid w:val="00116AE8"/>
    <w:rsid w:val="001236AC"/>
    <w:rsid w:val="00135E29"/>
    <w:rsid w:val="001648F1"/>
    <w:rsid w:val="0017355B"/>
    <w:rsid w:val="00183C98"/>
    <w:rsid w:val="001932E2"/>
    <w:rsid w:val="001A2E67"/>
    <w:rsid w:val="001B0D22"/>
    <w:rsid w:val="001B2564"/>
    <w:rsid w:val="001B5640"/>
    <w:rsid w:val="001C2763"/>
    <w:rsid w:val="001D0E9B"/>
    <w:rsid w:val="001E71A6"/>
    <w:rsid w:val="001F38BC"/>
    <w:rsid w:val="00220CA9"/>
    <w:rsid w:val="00224227"/>
    <w:rsid w:val="002316EC"/>
    <w:rsid w:val="00251190"/>
    <w:rsid w:val="00261D5E"/>
    <w:rsid w:val="002632FB"/>
    <w:rsid w:val="00293553"/>
    <w:rsid w:val="00293847"/>
    <w:rsid w:val="00293FE2"/>
    <w:rsid w:val="002950DD"/>
    <w:rsid w:val="002B2A2A"/>
    <w:rsid w:val="002B67F1"/>
    <w:rsid w:val="002C63C7"/>
    <w:rsid w:val="002F2B7F"/>
    <w:rsid w:val="00314050"/>
    <w:rsid w:val="00325049"/>
    <w:rsid w:val="00350A4A"/>
    <w:rsid w:val="00375FF3"/>
    <w:rsid w:val="003853F9"/>
    <w:rsid w:val="003872E4"/>
    <w:rsid w:val="003B3D8E"/>
    <w:rsid w:val="003C2102"/>
    <w:rsid w:val="003E22D0"/>
    <w:rsid w:val="003E54DD"/>
    <w:rsid w:val="003F2267"/>
    <w:rsid w:val="003F6557"/>
    <w:rsid w:val="003F6C10"/>
    <w:rsid w:val="00402EAB"/>
    <w:rsid w:val="0040393E"/>
    <w:rsid w:val="004041A5"/>
    <w:rsid w:val="0041624E"/>
    <w:rsid w:val="00422621"/>
    <w:rsid w:val="00431A46"/>
    <w:rsid w:val="0043328B"/>
    <w:rsid w:val="00443730"/>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4B3"/>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B5E75"/>
    <w:rsid w:val="006C16E7"/>
    <w:rsid w:val="006E39E9"/>
    <w:rsid w:val="007058C7"/>
    <w:rsid w:val="00722A49"/>
    <w:rsid w:val="007400B6"/>
    <w:rsid w:val="0074069B"/>
    <w:rsid w:val="00764338"/>
    <w:rsid w:val="00793082"/>
    <w:rsid w:val="007A72BF"/>
    <w:rsid w:val="007B1162"/>
    <w:rsid w:val="007B6F33"/>
    <w:rsid w:val="007D53DE"/>
    <w:rsid w:val="007D7102"/>
    <w:rsid w:val="007F4CE7"/>
    <w:rsid w:val="00805CD1"/>
    <w:rsid w:val="008439AB"/>
    <w:rsid w:val="00863811"/>
    <w:rsid w:val="00891D49"/>
    <w:rsid w:val="008B1FEF"/>
    <w:rsid w:val="008B6A0C"/>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D6527"/>
    <w:rsid w:val="009E003C"/>
    <w:rsid w:val="009E46B4"/>
    <w:rsid w:val="00A1606F"/>
    <w:rsid w:val="00A20845"/>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BE5069"/>
    <w:rsid w:val="00C116D5"/>
    <w:rsid w:val="00C25978"/>
    <w:rsid w:val="00C54F05"/>
    <w:rsid w:val="00C75ADA"/>
    <w:rsid w:val="00C76450"/>
    <w:rsid w:val="00C81A61"/>
    <w:rsid w:val="00C86877"/>
    <w:rsid w:val="00CA4F46"/>
    <w:rsid w:val="00CB7609"/>
    <w:rsid w:val="00CC1E52"/>
    <w:rsid w:val="00CC6ACB"/>
    <w:rsid w:val="00D110E2"/>
    <w:rsid w:val="00D24FC4"/>
    <w:rsid w:val="00D302D7"/>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1743B"/>
    <w:rsid w:val="00E20DC1"/>
    <w:rsid w:val="00E23967"/>
    <w:rsid w:val="00E3035E"/>
    <w:rsid w:val="00E4499D"/>
    <w:rsid w:val="00E67BB9"/>
    <w:rsid w:val="00E93CBD"/>
    <w:rsid w:val="00E94694"/>
    <w:rsid w:val="00E9558D"/>
    <w:rsid w:val="00EC0801"/>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A20845"/>
    <w:rPr>
      <w:color w:val="808080"/>
      <w:bdr w:val="none" w:color="auto" w:sz="0" w:space="0"/>
      <w:shd w:val="clear" w:color="auto" w:fill="auto"/>
    </w:rPr>
  </w:style>
  <w:style w:type="character" w:styleId="eSPISCCParagraphDefaultFont" w:customStyle="true">
    <w:name w:val="eSPIS_CC_Paragraph Default Font"/>
    <w:basedOn w:val="Zadanifontodlomka"/>
    <w:rsid w:val="00A2084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2084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2084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2084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A20845"/>
    <w:rPr>
      <w:color w:val="808080"/>
      <w:bdr w:color="auto" w:space="0" w:sz="0" w:val="none"/>
      <w:shd w:color="auto" w:fill="auto" w:val="clear"/>
    </w:rPr>
  </w:style>
  <w:style w:customStyle="1" w:styleId="eSPISCCParagraphDefaultFont" w:type="character">
    <w:name w:val="eSPIS_CC_Paragraph Default Font"/>
    <w:basedOn w:val="Zadanifontodlomka"/>
    <w:rsid w:val="00A208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84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2084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2084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391778127">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54362176">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1993555653">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9. veljače 2022.</izvorni_sadrzaj>
    <derivirana_varijabla naziv="DomainObject.StvarniPocetakDatum_1">9. veljače 2022.</derivirana_varijabla>
  </DomainObject.StvarniPocetakDatum>
  <DomainObject.StvarniZavrsetakDatum>
    <izvorni_sadrzaj>9. veljače 2022.</izvorni_sadrzaj>
    <derivirana_varijabla naziv="DomainObject.StvarniZavrsetakDatum_1">9. veljače 2022.</derivirana_varijabla>
  </DomainObject.StvarniZavrsetakDatum>
  <DomainObject.PlaniraniZavrsetakDatum>
    <izvorni_sadrzaj>9. veljače 2022.</izvorni_sadrzaj>
    <derivirana_varijabla naziv="DomainObject.PlaniraniZavrsetakDatum_1">9. veljače 2022.</derivirana_varijabla>
  </DomainObject.PlaniraniZavrsetakDatum>
  <DomainObject.PlaniraniPocetakDatum>
    <izvorni_sadrzaj>9. veljače 2022.</izvorni_sadrzaj>
    <derivirana_varijabla naziv="DomainObject.PlaniraniPocetakDatum_1">9. veljače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2022.</izvorni_sadrzaj>
    <derivirana_varijabla naziv="DomainObject.Zapisnik.DatumKreiranja_1">9. veljače 2022.</derivirana_varijabla>
  </DomainObject.Zapisnik.DatumKreiranja>
  <DomainObject.Zapisnik.ImovinskaKorist>
    <izvorni_sadrzaj/>
    <derivirana_varijabla naziv="DomainObject.Zapisnik.ImovinskaKorist_1"/>
  </DomainObject.Zapisnik.ImovinskaKorist>
  <DomainObject.Zapisnik.Oznaka>
    <izvorni_sadrzaj>St-373/2018-144</izvorni_sadrzaj>
    <derivirana_varijabla naziv="DomainObject.Zapisnik.Oznaka_1">St-373/2018-144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za pravomoćnost rj -45 (-40) vidi 
šest drugostupanjskih odluka -</izvorni_sadrzaj>
    <derivirana_varijabla naziv="DomainObject.Predmet.Opis_1">- za pravomoćnost rj -45 (-40) vidi 
šest drugostupanjskih odluka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izvorni_sadrzaj>
    <derivirana_varijabla naziv="DomainObject.Predmet.StrankaFormated_1">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derivirana_varijabla>
  </DomainObject.Predmet.StrankaFormated>
  <DomainObject.Predmet.StrankaFormatedOIB>
    <izvorni_sadrzaj>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izvorni_sadrzaj>
    <derivirana_varijabla naziv="DomainObject.Predmet.StrankaFormatedOIB_1">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derivirana_varijabla>
  </DomainObject.Predmet.StrankaFormatedOIB>
  <DomainObject.Predmet.StrankaFormatedWithAdress>
    <izvorni_sadrzaj>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izvorni_sadrzaj>
    <derivirana_varijabla naziv="DomainObject.Predmet.StrankaFormatedWithAdress_1">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derivirana_varijabla>
  </DomainObject.Predmet.StrankaFormatedWithAdress>
  <DomainObject.Predmet.StrankaFormatedWithAdressOIB>
    <izvorni_sadrzaj>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izvorni_sadrzaj>
    <derivirana_varijabla naziv="DomainObject.Predmet.StrankaFormatedWithAdressOIB_1">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derivirana_varijabla>
  </DomainObject.Predmet.StrankaFormatedWithAdressOIB>
  <DomainObject.Predmet.StrankaWithAdress>
    <izvorni_sadrzaj>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izvorni_sadrzaj>
    <derivirana_varijabla naziv="DomainObject.Predmet.StrankaWithAdress_1">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derivirana_varijabla>
  </DomainObject.Predmet.StrankaWithAdress>
  <DomainObject.Predmet.StrankaWithAdressOIB>
    <izvorni_sadrzaj>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izvorni_sadrzaj>
    <derivirana_varijabla naziv="DomainObject.Predmet.StrankaWithAdressOIB_1">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derivirana_varijabla>
  </DomainObject.Predmet.StrankaWithAdressOIB>
  <DomainObject.Predmet.StrankaNazivFormated>
    <izvorni_sadrzaj>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izvorni_sadrzaj>
    <derivirana_varijabla naziv="DomainObject.Predmet.StrankaNazivFormated_1">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derivirana_varijabla>
  </DomainObject.Predmet.StrankaNazivFormated>
  <DomainObject.Predmet.StrankaNazivFormatedOIB>
    <izvorni_sadrzaj>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izvorni_sadrzaj>
    <derivirana_varijabla naziv="DomainObject.Predmet.StrankaNazivFormatedOIB_1">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Formated>
  <DomainObject.Predmet.StrankaList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FormatedOIB>
  <DomainObject.Predmet.StrankaListFormatedWithAdress>
    <izvorni_sadrzaj>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izvorni_sadrzaj>
    <derivirana_varijabla naziv="DomainObject.Predmet.StrankaListFormatedWithAdress_1">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derivirana_varijabla>
  </DomainObject.Predmet.StrankaListFormatedWithAdress>
  <DomainObject.Predmet.StrankaListFormatedWithAdressOIB>
    <izvorni_sadrzaj>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izvorni_sadrzaj>
    <derivirana_varijabla naziv="DomainObject.Predmet.StrankaListFormatedWithAdressOIB_1">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derivirana_varijabla>
  </DomainObject.Predmet.StrankaListFormatedWithAdressOIB>
  <DomainObject.Predmet.StrankaListNaziv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Naziv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NazivFormated>
  <DomainObject.Predmet.StrankaListNaziv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Naziv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tem>MAMIĆ GRGIĆ VINTER odvjetničko društvo d.o.o.</item>
      <item>Vedran Plasaj</item>
    </izvorni_sadrzaj>
    <derivirana_varijabla naziv="DomainObject.Predmet.OstaliListFormated_1">
      <item>Petar Kovačević</item>
      <item>MAMIĆ GRGIĆ VINTER odvjetničko društvo d.o.o.</item>
      <item>Vedran Plasaj</item>
    </derivirana_varijabla>
  </DomainObject.Predmet.OstaliListFormated>
  <DomainObject.Predmet.OstaliListFormatedOIB>
    <izvorni_sadrzaj>
      <item>Petar Kovačević, OIB 63525066803</item>
      <item>MAMIĆ GRGIĆ VINTER odvjetničko društvo d.o.o., OIB 80965217093</item>
      <item>Vedran Plasaj, OIB 44425728361</item>
    </izvorni_sadrzaj>
    <derivirana_varijabla naziv="DomainObject.Predmet.OstaliListFormatedOIB_1">
      <item>Petar Kovačević, OIB 63525066803</item>
      <item>MAMIĆ GRGIĆ VINTER odvjetničko društvo d.o.o., OIB 80965217093</item>
      <item>Vedran Plasaj, OIB 44425728361</item>
    </derivirana_varijabla>
  </DomainObject.Predmet.OstaliListFormatedOIB>
  <DomainObject.Predmet.OstaliListFormatedWithAdress>
    <izvorni_sadrzaj>
      <item>Petar Kovačević, CESTA DR.FRANJE TUĐMANA 1236 (ranije: KAŠTEL ŠTAFILIĆ, PUT RESNIKA, 0), 21217 Kaštel Štafilić</item>
      <item>MAMIĆ GRGIĆ VINTER odvjetničko društvo d.o.o., Banjavčićeva 22, 10000 Zagreb</item>
      <item>Vedran Plasaj, Črnomerec 31a, 10000 Zagreb</item>
    </izvorni_sadrzaj>
    <derivirana_varijabla naziv="DomainObject.Predmet.OstaliListFormatedWithAdress_1">
      <item>Petar Kovačević, CESTA DR.FRANJE TUĐMANA 1236 (ranije: KAŠTEL ŠTAFILIĆ, PUT RESNIKA, 0), 21217 Kaštel Štafilić</item>
      <item>MAMIĆ GRGIĆ VINTER odvjetničko društvo d.o.o., Banjavčićeva 22, 10000 Zagreb</item>
      <item>Vedran Plasaj, Črnomerec 31a, 10000 Zagreb</item>
    </derivirana_varijabla>
  </DomainObject.Predmet.OstaliListFormatedWithAdress>
  <DomainObject.Predmet.OstaliListFormatedWithAdressOIB>
    <izvorni_sadrzaj>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izvorni_sadrzaj>
    <derivirana_varijabla naziv="DomainObject.Predmet.OstaliListFormatedWithAdressOIB_1">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derivirana_varijabla>
  </DomainObject.Predmet.OstaliListFormatedWithAdressOIB>
  <DomainObject.Predmet.OstaliListNazivFormated>
    <izvorni_sadrzaj>
      <item>Petar Kovačević</item>
      <item>MAMIĆ GRGIĆ VINTER odvjetničko društvo d.o.o.</item>
      <item>Vedran Plasaj</item>
    </izvorni_sadrzaj>
    <derivirana_varijabla naziv="DomainObject.Predmet.OstaliListNazivFormated_1">
      <item>Petar Kovačević</item>
      <item>MAMIĆ GRGIĆ VINTER odvjetničko društvo d.o.o.</item>
      <item>Vedran Plasaj</item>
    </derivirana_varijabla>
  </DomainObject.Predmet.OstaliListNazivFormated>
  <DomainObject.Predmet.OstaliListNazivFormatedOIB>
    <izvorni_sadrzaj>
      <item>Petar Kovačević, OIB 63525066803</item>
      <item>MAMIĆ GRGIĆ VINTER odvjetničko društvo d.o.o., OIB 80965217093</item>
      <item>Vedran Plasaj, OIB 44425728361</item>
    </izvorni_sadrzaj>
    <derivirana_varijabla naziv="DomainObject.Predmet.OstaliListNazivFormatedOIB_1">
      <item>Petar Kovačević, OIB 63525066803</item>
      <item>MAMIĆ GRGIĆ VINTER odvjetničko društvo d.o.o., OIB 80965217093</item>
      <item>Vedran Plasaj, OIB 44425728361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2022.</izvorni_sadrzaj>
    <derivirana_varijabla naziv="DomainObject.Datum_1">9. veljače 2022.</derivirana_varijabla>
  </DomainObject.Datum>
  <DomainObject.PoslovniBrojDokumenta>
    <izvorni_sadrzaj>St-373/2018-144</izvorni_sadrzaj>
    <derivirana_varijabla naziv="DomainObject.PoslovniBrojDokumenta_1">St-373/2018-144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 i dr.</izvorni_sadrzaj>
    <derivirana_varijabla naziv="DomainObject.Predmet.StrankaIDrugiAdressOIB_1">FINA, OIB 85821130368, Ivana Danila 4, 23000 Zadar i dr.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izvorni_sadrzaj>
    <derivirana_varijabla naziv="DomainObject.Predmet.SudioniciListNaziv_1">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izvorni_sadrzaj>
    <derivirana_varijabla naziv="DomainObject.Predmet.SudioniciListNazivOIB_1">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studenog 2018.</izvorni_sadrzaj>
    <derivirana_varijabla naziv="DomainObject.Predmet.DatumPocetkaProcesa_1">9.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17003-76CB-4F85-90A7-C5BAECD2267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771</properties:Words>
  <properties:Characters>4145</properties:Characters>
  <properties:Lines>162</properties:Lines>
  <properties:Paragraphs>58</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2022-02-08T13:22:00Z</dcterms:created>
  <dc:creator>abajlo</dc:creator>
  <cp:lastModifiedBy>Ante Rubelj</cp:lastModifiedBy>
  <cp:lastPrinted>2021-09-29T08:24:00Z</cp:lastPrinted>
  <dcterms:modified xmlns:xsi="http://www.w3.org/2001/XMLSchema-instance" xsi:type="dcterms:W3CDTF">2022-02-09T11:59:00Z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St-373/2018-144 / Zapisnik - Skupština vjerovnika (1St-373-18 skupština vjerovnika 9.2.2022-.docx)</vt:lpwstr>
  </prop:property>
  <prop:property fmtid="{D5CDD505-2E9C-101B-9397-08002B2CF9AE}" pid="4" name="CC_coloring">
    <vt:bool>false</vt:bool>
  </prop:property>
  <prop:property fmtid="{D5CDD505-2E9C-101B-9397-08002B2CF9AE}" pid="5" name="BrojStranica">
    <vt:i4>3</vt:i4>
  </prop:property>
</prop:Properties>
</file>